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Override ContentType="application/vnd.openxmlformats-officedocument.wordprocessingml.header+xml" PartName="/word/header1.xml"/>
  <Override ContentType="application/vnd.openxmlformats-officedocument.wordprocessingml.footer+xml" PartName="/word/footer1.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after="60"/>
      </w:pPr>
      <w:r>
        <w:rPr>
          <w:b/>
          <w:bCs/>
          <w:color w:val="0F6E6E"/>
          <w:sz w:val="17"/>
          <w:szCs w:val="17"/>
        </w:rPr>
        <w:t xml:space="preserve">DIVULGACIÓN · EDUCACIÓN SUPERIOR · MÉXICO</w:t>
      </w:r>
    </w:p>
    <w:p>
      <w:pPr>
        <w:spacing w:after="100" w:line="264"/>
      </w:pPr>
      <w:r>
        <w:rPr>
          <w:b/>
          <w:bCs/>
          <w:color w:val="0A4F54"/>
          <w:sz w:val="40"/>
          <w:szCs w:val="40"/>
        </w:rPr>
        <w:t xml:space="preserve">El uso ético de la inteligencia artificial en la educación superior mexicana</w:t>
      </w:r>
    </w:p>
    <w:p>
      <w:pPr>
        <w:spacing w:after="160"/>
      </w:pPr>
      <w:r>
        <w:rPr>
          <w:i/>
          <w:iCs/>
          <w:color w:val="6B7C8F"/>
          <w:sz w:val="26"/>
          <w:szCs w:val="26"/>
        </w:rPr>
        <w:t xml:space="preserve">Principios internacionales, panorama nacional y rutas para una adopción responsable</w:t>
      </w:r>
    </w:p>
    <w:p>
      <w:pPr>
        <w:spacing w:after="40"/>
      </w:pPr>
      <w:r>
        <w:rPr>
          <w:b/>
          <w:bCs/>
          <w:sz w:val="22"/>
          <w:szCs w:val="22"/>
        </w:rPr>
        <w:t xml:space="preserve">Dr. Francisco Gabriel Rodríguez González</w:t>
      </w:r>
    </w:p>
    <w:p>
      <w:pPr>
        <w:pBdr>
          <w:bottom w:val="single" w:color="D9D2C5" w:sz="6" w:space="8"/>
        </w:pBdr>
        <w:spacing w:after="220"/>
      </w:pPr>
      <w:r>
        <w:rPr>
          <w:color w:val="6B7C8F"/>
          <w:sz w:val="20"/>
          <w:szCs w:val="20"/>
        </w:rPr>
        <w:t xml:space="preserve">Departamento de Administración de Empresas, Universidad de las Américas Puebla (UDLAP) · 16 de junio de 2026</w:t>
      </w:r>
    </w:p>
    <w:p>
      <w:pPr>
        <w:pBdr>
          <w:left w:val="single" w:color="0F6E6E" w:sz="18" w:space="14"/>
        </w:pBdr>
        <w:spacing w:after="240" w:before="0" w:line="312"/>
        <w:ind w:left="240"/>
        <w:jc w:val="left"/>
      </w:pPr>
      <w:r>
        <w:rPr>
          <w:b w:val="false"/>
          <w:bCs w:val="false"/>
          <w:i/>
          <w:iCs/>
          <w:sz w:val="25"/>
          <w:szCs w:val="25"/>
        </w:rPr>
        <w:t xml:space="preserve">La inteligencia artificial generativa dejó de ser una promesa lejana para instalarse en las aulas, las bibliotecas y los cubículos de las universidades mexicanas. Su adopción masiva, sin embargo, ha superado el ritmo con que las instituciones construyen reglas, criterios y, sobre todo, cultura para usarla bien. Este texto ofrece una panorámica del marco ético internacional, del estado de la conversación en México y de las decisiones concretas que pueden tomar autoridades, docentes y estudiantes para que la IA fortalezca, y no erosione, la misión universitaria.</w:t>
      </w:r>
    </w:p>
    <w:p>
      <w:pPr>
        <w:pStyle w:val="Heading2"/>
      </w:pPr>
      <w:r>
        <w:t xml:space="preserve">Una tecnología que llegó antes que sus reglas</w:t>
      </w:r>
    </w:p>
    <w:p>
      <w:pPr>
        <w:spacing w:after="170" w:before="0" w:line="300"/>
        <w:jc w:val="both"/>
      </w:pPr>
      <w:r>
        <w:rPr>
          <w:b w:val="false"/>
          <w:bCs w:val="false"/>
          <w:i w:val="false"/>
          <w:iCs w:val="false"/>
        </w:rPr>
        <w:t xml:space="preserve">De acuerdo con reportes recientes, más de tres de cada cuatro estudiantes universitarios en México emplean herramientas de inteligencia artificial para redactar o apoyar la elaboración de textos académicos, y una proporción semejante del profesorado las incorpora ya en la planeación de clases, la retroalimentación o la investigación. La cifra describe un cambio cultural profundo: la tecnología se adoptó primero y la norma llegó después, cuando llegó. En ese desfase se juega buena parte de la integridad académica, la equidad entre estudiantes y la calidad misma de la formación.</w:t>
      </w:r>
    </w:p>
    <w:p>
      <w:pPr>
        <w:spacing w:after="170" w:before="0" w:line="300"/>
        <w:jc w:val="both"/>
      </w:pPr>
      <w:r>
        <w:rPr>
          <w:b w:val="false"/>
          <w:bCs w:val="false"/>
          <w:i w:val="false"/>
          <w:iCs w:val="false"/>
        </w:rPr>
        <w:t xml:space="preserve">Prohibir resulta ineficaz y, con frecuencia, contraproducente, porque empuja el uso a la clandestinidad y ensancha la brecha entre quienes saben aprovechar la herramienta y quienes no. Permitir sin criterio tampoco sirve, pues confunde la disponibilidad de una respuesta con la construcción de un aprendizaje. El camino fértil es el de la gobernanza ética, que no consiste en una lista de prohibiciones, sino en un conjunto de principios, acuerdos y competencias que permiten decidir, caso por caso, qué uso de la IA es legítimo y cuál no.</w:t>
      </w:r>
    </w:p>
    <w:p>
      <w:pPr>
        <w:pStyle w:val="Heading2"/>
      </w:pPr>
      <w:r>
        <w:t xml:space="preserve">Por qué la ética no es un accesorio</w:t>
      </w:r>
    </w:p>
    <w:p>
      <w:pPr>
        <w:spacing w:after="170" w:before="0" w:line="300"/>
        <w:jc w:val="both"/>
      </w:pPr>
      <w:r>
        <w:rPr>
          <w:b w:val="false"/>
          <w:bCs w:val="false"/>
          <w:i w:val="false"/>
          <w:iCs w:val="false"/>
        </w:rPr>
        <w:t xml:space="preserve">En la universidad, la ética de la IA no es un añadido cosmético sobre un asunto técnico. Es la condición que distingue un título que certifica aprendizaje real de uno que solo certifica acceso a una herramienta. Cuando un estudiante entrega como propio un texto que no comprende, no engaña principalmente a su profesor, se priva a sí mismo del aprendizaje por el que invierte años y recursos. Cuando una institución adopta sistemas de IA para admitir, evaluar o vigilar sin transparencia, pone en riesgo derechos fundamentales de su comunidad. La pregunta ética, entonces, no es si usar IA, sino para qué, con qué límites y a costa de qué.</w:t>
      </w:r>
    </w:p>
    <w:p>
      <w:pPr>
        <w:pStyle w:val="Heading2"/>
      </w:pPr>
      <w:r>
        <w:t xml:space="preserve">La brújula internacional: la Recomendación de la UNESCO</w:t>
      </w:r>
    </w:p>
    <w:p>
      <w:pPr>
        <w:spacing w:after="170" w:before="0" w:line="300"/>
        <w:jc w:val="both"/>
      </w:pPr>
      <w:r>
        <w:rPr>
          <w:b w:val="false"/>
          <w:bCs w:val="false"/>
          <w:i w:val="false"/>
          <w:iCs w:val="false"/>
        </w:rPr>
        <w:t xml:space="preserve">En noviembre de 2021, los 193 Estados miembros de la UNESCO, México entre ellos, adoptaron la Recomendación sobre la Ética de la Inteligencia Artificial, el primer instrumento normativo de alcance global en la materia. Su punto de partida es claro: la IA debe respetar los derechos humanos y la dignidad de las personas, y permanecer siempre bajo supervisión humana. A partir de ese principio rector, la Recomendación despliega un conjunto de valores y principios que funcionan como brújula para cualquier institución, también las universitarias.</w:t>
      </w:r>
    </w:p>
    <w:p>
      <w:pPr>
        <w:spacing w:after="170" w:before="0" w:line="300"/>
        <w:jc w:val="both"/>
      </w:pPr>
      <w:r>
        <w:rPr>
          <w:b w:val="false"/>
          <w:bCs w:val="false"/>
          <w:i w:val="false"/>
          <w:iCs w:val="false"/>
        </w:rPr>
        <w:t xml:space="preserve">Entre esos principios destacan la proporcionalidad y la no maleficencia (usar la IA solo en la medida necesaria y evaluando sus riesgos), la equidad y la no discriminación, la sostenibilidad, el derecho a la privacidad y la protección de datos, la supervisión y la determinación humanas, la transparencia y la explicabilidad, y la responsabilidad con rendición de cuentas. Ninguno es un eslogan: cada uno se traduce en decisiones concretas sobre qué sistemas se adoptan, cómo se informa a la comunidad y quién responde cuando algo sale mal.</w:t>
      </w:r>
    </w:p>
    <w:p>
      <w:pPr>
        <w:spacing w:after="170" w:before="0" w:line="300"/>
        <w:jc w:val="both"/>
      </w:pPr>
      <w:r>
        <w:rPr>
          <w:b w:val="false"/>
          <w:bCs w:val="false"/>
          <w:i w:val="false"/>
          <w:iCs w:val="false"/>
        </w:rPr>
        <w:t xml:space="preserve">La Organización avanzó después hacia el terreno educativo. En 2023 publicó una guía sobre IA generativa en la educación y la investigación, que señala con franqueza los retos de integridad académica, regulación, protección de datos, sesgo, género, accesibilidad y comercialización. En 2024 dio un paso más con dos marcos de competencias en IA, uno para estudiantes y otro para docentes, que ayudan a traducir los principios en habilidades enseñables. El mensaje de fondo es coherente: la solución no es técnica, es pedagógica y humanística.</w:t>
      </w:r>
    </w:p>
    <w:p>
      <w:pPr>
        <w:pStyle w:val="Heading2"/>
      </w:pPr>
      <w:r>
        <w:t xml:space="preserve">El panorama mexicano: del vacío a los primeros marcos</w:t>
      </w:r>
    </w:p>
    <w:p>
      <w:pPr>
        <w:spacing w:after="170" w:before="0" w:line="300"/>
        <w:jc w:val="both"/>
      </w:pPr>
      <w:r>
        <w:rPr>
          <w:b w:val="false"/>
          <w:bCs w:val="false"/>
          <w:i w:val="false"/>
          <w:iCs w:val="false"/>
        </w:rPr>
        <w:t xml:space="preserve">México ha pasado, en pocos años, de la ausencia casi total de normas al surgimiento de los primeros marcos institucionales. La Asociación Nacional de Universidades e Instituciones de Educación Superior (ANUIES) ha impulsado un Informe Nacional sobre la IA en la educación superior y un Observatorio Interinstitucional que busca identificar buenas prácticas y articular a las instituciones en torno a una integración ética, crítica y humanista. Su Comité de Tecnologías de la Información ha colocado en la agenda temas de gobernanza, ciberseguridad, marco legal, inclusión y formación docente.</w:t>
      </w:r>
    </w:p>
    <w:p>
      <w:pPr>
        <w:spacing w:after="170" w:before="0" w:line="300"/>
        <w:jc w:val="both"/>
      </w:pPr>
      <w:r>
        <w:rPr>
          <w:b w:val="false"/>
          <w:bCs w:val="false"/>
          <w:i w:val="false"/>
          <w:iCs w:val="false"/>
        </w:rPr>
        <w:t xml:space="preserve">En el plano de cada institución, varias universidades han abierto camino. La UNAM, la Universidad Iberoamericana y el Tecnológico de Monterrey han publicado lineamientos o guías para el uso de la IA generativa. La Universidad Autónoma Metropolitana presentó ante su Consejo Académico un código o decálogo de ética para el uso de la IA, elaborado por una comisión interdisciplinaria, que parte de su propio Código de Ética y se vincula con la discusión nacional sobre buenas prácticas en el desarrollo y uso de la tecnología. Estos esfuerzos comparten un eje: poner en el centro los derechos, la equidad y el pensamiento crítico, antes que la mera eficiencia.</w:t>
      </w:r>
    </w:p>
    <w:p>
      <w:pPr>
        <w:spacing w:after="170" w:before="0" w:line="300"/>
        <w:jc w:val="both"/>
      </w:pPr>
      <w:r>
        <w:rPr>
          <w:b w:val="false"/>
          <w:bCs w:val="false"/>
          <w:i w:val="false"/>
          <w:iCs w:val="false"/>
        </w:rPr>
        <w:t xml:space="preserve">El panorama, con todo, sigue siendo desigual. Conviven instituciones con marcos articulados y otras donde la decisión recae, sin orientación, en cada docente. Cerrar esa brecha de gobernanza es uno de los retos más urgentes del sistema.</w:t>
      </w:r>
    </w:p>
    <w:p>
      <w:pPr>
        <w:pStyle w:val="Heading2"/>
      </w:pPr>
      <w:r>
        <w:t xml:space="preserve">Seis principios para llevar al aula</w:t>
      </w:r>
    </w:p>
    <w:p>
      <w:pPr>
        <w:spacing w:after="170" w:before="0" w:line="300"/>
        <w:jc w:val="both"/>
      </w:pPr>
      <w:r>
        <w:rPr>
          <w:b w:val="false"/>
          <w:bCs w:val="false"/>
          <w:i w:val="false"/>
          <w:iCs w:val="false"/>
        </w:rPr>
        <w:t xml:space="preserve">Los grandes documentos internacionales se vuelven útiles cuando descienden a la práctica cotidiana. Estos seis principios traducen el marco de la UNESCO a la vida universitaria mexicana y sirven igual a una autoridad que diseña una política, a un docente que rediseña una tarea o a un estudiante que decide cómo trabajar.</w:t>
      </w:r>
    </w:p>
    <w:p>
      <w:pPr>
        <w:pStyle w:val="ListParagraph"/>
        <w:numPr>
          <w:ilvl w:val="0"/>
          <w:numId w:val="2"/>
        </w:numPr>
        <w:spacing w:after="120" w:line="290"/>
      </w:pPr>
      <w:r>
        <w:rPr>
          <w:b/>
          <w:bCs/>
          <w:i w:val="false"/>
          <w:iCs w:val="false"/>
        </w:rPr>
        <w:t xml:space="preserve">Transparencia.</w:t>
      </w:r>
      <w:r>
        <w:rPr>
          <w:b w:val="false"/>
          <w:bCs w:val="false"/>
          <w:i w:val="false"/>
          <w:iCs w:val="false"/>
        </w:rPr>
        <w:t xml:space="preserve"> Quien usa IA lo declara. Una nota breve sobre qué herramienta se empleó y para qué convierte un acto opaco en uno honesto y evaluable.</w:t>
      </w:r>
    </w:p>
    <w:p>
      <w:pPr>
        <w:pStyle w:val="ListParagraph"/>
        <w:numPr>
          <w:ilvl w:val="0"/>
          <w:numId w:val="2"/>
        </w:numPr>
        <w:spacing w:after="120" w:line="290"/>
      </w:pPr>
      <w:r>
        <w:rPr>
          <w:b/>
          <w:bCs/>
          <w:i w:val="false"/>
          <w:iCs w:val="false"/>
        </w:rPr>
        <w:t xml:space="preserve">Supervisión humana.</w:t>
      </w:r>
      <w:r>
        <w:rPr>
          <w:b w:val="false"/>
          <w:bCs w:val="false"/>
          <w:i w:val="false"/>
          <w:iCs w:val="false"/>
        </w:rPr>
        <w:t xml:space="preserve"> La IA propone, la persona decide. El juicio, la verificación y la responsabilidad final no se delegan a un sistema.</w:t>
      </w:r>
    </w:p>
    <w:p>
      <w:pPr>
        <w:pStyle w:val="ListParagraph"/>
        <w:numPr>
          <w:ilvl w:val="0"/>
          <w:numId w:val="2"/>
        </w:numPr>
        <w:spacing w:after="120" w:line="290"/>
      </w:pPr>
      <w:r>
        <w:rPr>
          <w:b/>
          <w:bCs/>
          <w:i w:val="false"/>
          <w:iCs w:val="false"/>
        </w:rPr>
        <w:t xml:space="preserve">Equidad.</w:t>
      </w:r>
      <w:r>
        <w:rPr>
          <w:b w:val="false"/>
          <w:bCs w:val="false"/>
          <w:i w:val="false"/>
          <w:iCs w:val="false"/>
        </w:rPr>
        <w:t xml:space="preserve"> Las reglas deben cerrar brechas, no abrirlas. Conviene considerar a quien no tiene acceso a versiones de pago o a buena conectividad antes de exigir su uso.</w:t>
      </w:r>
    </w:p>
    <w:p>
      <w:pPr>
        <w:pStyle w:val="ListParagraph"/>
        <w:numPr>
          <w:ilvl w:val="0"/>
          <w:numId w:val="2"/>
        </w:numPr>
        <w:spacing w:after="120" w:line="290"/>
      </w:pPr>
      <w:r>
        <w:rPr>
          <w:b/>
          <w:bCs/>
          <w:i w:val="false"/>
          <w:iCs w:val="false"/>
        </w:rPr>
        <w:t xml:space="preserve">Privacidad.</w:t>
      </w:r>
      <w:r>
        <w:rPr>
          <w:b w:val="false"/>
          <w:bCs w:val="false"/>
          <w:i w:val="false"/>
          <w:iCs w:val="false"/>
        </w:rPr>
        <w:t xml:space="preserve"> No se entregan a un sistema externo datos personales, de investigación o confidenciales sin saber dónde quedan y quién los puede ver.</w:t>
      </w:r>
    </w:p>
    <w:p>
      <w:pPr>
        <w:pStyle w:val="ListParagraph"/>
        <w:numPr>
          <w:ilvl w:val="0"/>
          <w:numId w:val="2"/>
        </w:numPr>
        <w:spacing w:after="120" w:line="290"/>
      </w:pPr>
      <w:r>
        <w:rPr>
          <w:b/>
          <w:bCs/>
          <w:i w:val="false"/>
          <w:iCs w:val="false"/>
        </w:rPr>
        <w:t xml:space="preserve">Integridad y autoría.</w:t>
      </w:r>
      <w:r>
        <w:rPr>
          <w:b w:val="false"/>
          <w:bCs w:val="false"/>
          <w:i w:val="false"/>
          <w:iCs w:val="false"/>
        </w:rPr>
        <w:t xml:space="preserve"> El crédito corresponde a quien piensa y decide. Presentar como propio lo que uno no comprende ni puede defender erosiona el valor del título.</w:t>
      </w:r>
    </w:p>
    <w:p>
      <w:pPr>
        <w:pStyle w:val="ListParagraph"/>
        <w:numPr>
          <w:ilvl w:val="0"/>
          <w:numId w:val="2"/>
        </w:numPr>
        <w:spacing w:after="120" w:line="290"/>
      </w:pPr>
      <w:r>
        <w:rPr>
          <w:b/>
          <w:bCs/>
          <w:i w:val="false"/>
          <w:iCs w:val="false"/>
        </w:rPr>
        <w:t xml:space="preserve">Pensamiento crítico.</w:t>
      </w:r>
      <w:r>
        <w:rPr>
          <w:b w:val="false"/>
          <w:bCs w:val="false"/>
          <w:i w:val="false"/>
          <w:iCs w:val="false"/>
        </w:rPr>
        <w:t xml:space="preserve"> La IA es un andamiaje, no un sustituto. Se usa para pensar mejor y más lejos, nunca para dejar de pensar.</w:t>
      </w:r>
    </w:p>
    <w:p>
      <w:pPr>
        <w:pStyle w:val="Heading2"/>
      </w:pPr>
      <w:r>
        <w:t xml:space="preserve">Los retos que no conviene ignorar</w:t>
      </w:r>
    </w:p>
    <w:p>
      <w:pPr>
        <w:spacing w:after="170" w:before="0" w:line="300"/>
        <w:jc w:val="both"/>
      </w:pPr>
      <w:r>
        <w:rPr>
          <w:b w:val="false"/>
          <w:bCs w:val="false"/>
          <w:i w:val="false"/>
          <w:iCs w:val="false"/>
        </w:rPr>
        <w:t xml:space="preserve">Una mirada honesta reconoce que la IA en la universidad abre tantos riesgos como oportunidades. El primero es la </w:t>
      </w:r>
      <w:r>
        <w:rPr>
          <w:b/>
          <w:bCs/>
          <w:i w:val="false"/>
          <w:iCs w:val="false"/>
        </w:rPr>
        <w:t xml:space="preserve">integridad académica</w:t>
      </w:r>
      <w:r>
        <w:rPr>
          <w:b w:val="false"/>
          <w:bCs w:val="false"/>
          <w:i w:val="false"/>
          <w:iCs w:val="false"/>
        </w:rPr>
        <w:t xml:space="preserve">: cuando un sistema produce ensayos verosímiles en segundos, la evaluación tradicional pierde capacidad de distinguir el aprendizaje del simulacro. El segundo son los </w:t>
      </w:r>
      <w:r>
        <w:rPr>
          <w:b/>
          <w:bCs/>
          <w:i w:val="false"/>
          <w:iCs w:val="false"/>
        </w:rPr>
        <w:t xml:space="preserve">sesgos y la discriminación</w:t>
      </w:r>
      <w:r>
        <w:rPr>
          <w:b w:val="false"/>
          <w:bCs w:val="false"/>
          <w:i w:val="false"/>
          <w:iCs w:val="false"/>
        </w:rPr>
        <w:t xml:space="preserve">, porque los modelos heredan los prejuicios de los datos con que se entrenaron y pueden reproducir desigualdades de género, origen o lengua. El tercero es la </w:t>
      </w:r>
      <w:r>
        <w:rPr>
          <w:b/>
          <w:bCs/>
          <w:i w:val="false"/>
          <w:iCs w:val="false"/>
        </w:rPr>
        <w:t xml:space="preserve">privacidad</w:t>
      </w:r>
      <w:r>
        <w:rPr>
          <w:b w:val="false"/>
          <w:bCs w:val="false"/>
          <w:i w:val="false"/>
          <w:iCs w:val="false"/>
        </w:rPr>
        <w:t xml:space="preserve">, ya que cada consulta puede exponer datos sensibles de estudiantes, pacientes o comunidades de investigación.</w:t>
      </w:r>
    </w:p>
    <w:p>
      <w:pPr>
        <w:spacing w:after="170" w:before="0" w:line="300"/>
        <w:jc w:val="both"/>
      </w:pPr>
      <w:r>
        <w:rPr>
          <w:b w:val="false"/>
          <w:bCs w:val="false"/>
          <w:i w:val="false"/>
          <w:iCs w:val="false"/>
        </w:rPr>
        <w:t xml:space="preserve">A ellos se suman tres más. La </w:t>
      </w:r>
      <w:r>
        <w:rPr>
          <w:b/>
          <w:bCs/>
          <w:i w:val="false"/>
          <w:iCs w:val="false"/>
        </w:rPr>
        <w:t xml:space="preserve">brecha digital</w:t>
      </w:r>
      <w:r>
        <w:rPr>
          <w:b w:val="false"/>
          <w:bCs w:val="false"/>
          <w:i w:val="false"/>
          <w:iCs w:val="false"/>
        </w:rPr>
        <w:t xml:space="preserve"> amenaza con premiar a quien tiene mejores dispositivos, conectividad y herramientas de pago, justo en un sistema que aspira a la movilidad social. La </w:t>
      </w:r>
      <w:r>
        <w:rPr>
          <w:b/>
          <w:bCs/>
          <w:i w:val="false"/>
          <w:iCs w:val="false"/>
        </w:rPr>
        <w:t xml:space="preserve">dependencia cognitiva</w:t>
      </w:r>
      <w:r>
        <w:rPr>
          <w:b w:val="false"/>
          <w:bCs w:val="false"/>
          <w:i w:val="false"/>
          <w:iCs w:val="false"/>
        </w:rPr>
        <w:t xml:space="preserve"> aparece cuando la facilidad de delegar erosiona habilidades que solo se desarrollan con esfuerzo, como argumentar, sintetizar o resolver desde cero. Y la </w:t>
      </w:r>
      <w:r>
        <w:rPr>
          <w:b/>
          <w:bCs/>
          <w:i w:val="false"/>
          <w:iCs w:val="false"/>
        </w:rPr>
        <w:t xml:space="preserve">sostenibilidad</w:t>
      </w:r>
      <w:r>
        <w:rPr>
          <w:b w:val="false"/>
          <w:bCs w:val="false"/>
          <w:i w:val="false"/>
          <w:iCs w:val="false"/>
        </w:rPr>
        <w:t xml:space="preserve"> recuerda que el entrenamiento y el uso intensivo de estos modelos tienen un costo energético y ambiental que no es neutro. Nombrar los riesgos no es tecnofobia: es la condición para gobernarlos.</w:t>
      </w:r>
    </w:p>
    <w:p>
      <w:pPr>
        <w:pStyle w:val="Heading2"/>
      </w:pPr>
      <w:r>
        <w:t xml:space="preserve">Rutas de acción</w:t>
      </w:r>
    </w:p>
    <w:p>
      <w:pPr>
        <w:spacing w:after="170" w:before="0" w:line="300"/>
        <w:jc w:val="both"/>
      </w:pPr>
      <w:r>
        <w:rPr>
          <w:b w:val="false"/>
          <w:bCs w:val="false"/>
          <w:i w:val="false"/>
          <w:iCs w:val="false"/>
        </w:rPr>
        <w:t xml:space="preserve">La buena noticia es que ninguno de estos retos exige esperar a una solución perfecta. Existen decisiones razonables al alcance de cada actor de la comunidad universitaria.</w:t>
      </w:r>
    </w:p>
    <w:p>
      <w:pPr>
        <w:spacing w:after="170" w:before="0" w:line="300"/>
        <w:jc w:val="both"/>
      </w:pPr>
      <w:r>
        <w:rPr>
          <w:b/>
          <w:bCs/>
          <w:i w:val="false"/>
          <w:iCs w:val="false"/>
        </w:rPr>
        <w:t xml:space="preserve">Para las instituciones.</w:t>
      </w:r>
      <w:r>
        <w:rPr>
          <w:b w:val="false"/>
          <w:bCs w:val="false"/>
          <w:i w:val="false"/>
          <w:iCs w:val="false"/>
        </w:rPr>
        <w:t xml:space="preserve"> Conviene publicar una política clara y breve que distinga usos permitidos, condicionados y prohibidos; crear un comité plural que la revise con el tiempo; invertir en alfabetización en IA para estudiantes y profesores; y rediseñar la evaluación para que valore el proceso, la defensa oral y la aplicación situada, y no solo el producto final. La política debe ser un documento vivo, no un reglamento que nace obsoleto.</w:t>
      </w:r>
    </w:p>
    <w:p>
      <w:pPr>
        <w:spacing w:after="170" w:before="0" w:line="300"/>
        <w:jc w:val="both"/>
      </w:pPr>
      <w:r>
        <w:rPr>
          <w:b/>
          <w:bCs/>
          <w:i w:val="false"/>
          <w:iCs w:val="false"/>
        </w:rPr>
        <w:t xml:space="preserve">Para el profesorado.</w:t>
      </w:r>
      <w:r>
        <w:rPr>
          <w:b w:val="false"/>
          <w:bCs w:val="false"/>
          <w:i w:val="false"/>
          <w:iCs w:val="false"/>
        </w:rPr>
        <w:t xml:space="preserve"> El paso más poderoso es explicitar en cada curso qué se permite y qué no, y por qué. Rediseñar las tareas para incorporar reflexión, datos locales, trabajo en clase y sustentación reduce el incentivo a delegar sin aprender. Y enseñar a usar la IA con criterio, mostrando sus errores y sus límites, forma más que cualquier prohibición.</w:t>
      </w:r>
    </w:p>
    <w:p>
      <w:pPr>
        <w:spacing w:after="170" w:before="0" w:line="300"/>
        <w:jc w:val="both"/>
      </w:pPr>
      <w:r>
        <w:rPr>
          <w:b/>
          <w:bCs/>
          <w:i w:val="false"/>
          <w:iCs w:val="false"/>
        </w:rPr>
        <w:t xml:space="preserve">Para las y los estudiantes.</w:t>
      </w:r>
      <w:r>
        <w:rPr>
          <w:b w:val="false"/>
          <w:bCs w:val="false"/>
          <w:i w:val="false"/>
          <w:iCs w:val="false"/>
        </w:rPr>
        <w:t xml:space="preserve"> Tres hábitos marcan la diferencia: declarar cuándo y cómo se usó la herramienta, verificar siempre lo que produce (porque inventa datos y referencias con total seguridad) y usarla para aprender más, no para aprender menos. La pregunta útil no es qué puede hacer la IA por mí, sino qué quiero ser capaz de hacer yo, incluso sin ella.</w:t>
      </w:r>
    </w:p>
    <w:p>
      <w:pPr>
        <w:pStyle w:val="Heading2"/>
      </w:pPr>
      <w:r>
        <w:t xml:space="preserve">Hacia una cultura digital con integridad</w:t>
      </w:r>
    </w:p>
    <w:p>
      <w:pPr>
        <w:spacing w:after="170" w:before="0" w:line="300"/>
        <w:jc w:val="both"/>
      </w:pPr>
      <w:r>
        <w:rPr>
          <w:b w:val="false"/>
          <w:bCs w:val="false"/>
          <w:i w:val="false"/>
          <w:iCs w:val="false"/>
        </w:rPr>
        <w:t xml:space="preserve">La inteligencia artificial no resolverá los problemas de fondo de la educación superior ni los provocará por sí sola. Será, como toda tecnología, lo que la cultura institucional haga de ella. Una universidad que solo persigue el fraude llegará tarde y agotada; una que forma criterio, declara con transparencia y rediseña su forma de enseñar y evaluar convertirá la IA en un aliado de su misión. El objetivo no es producir más rápido, sino formar mejor: personas capaces de pensar con y sin la máquina, de decidir con responsabilidad y de poner la tecnología al servicio de la dignidad humana. Esa es la brújula que conviene no soltar.</w:t>
      </w:r>
    </w:p>
    <w:p>
      <w:pPr>
        <w:spacing w:after="80" w:before="200"/>
        <w:jc w:val="right"/>
      </w:pPr>
      <w:r>
        <w:rPr>
          <w:i/>
          <w:iCs/>
          <w:color w:val="6B7C8F"/>
          <w:sz w:val="21"/>
          <w:szCs w:val="21"/>
        </w:rPr>
        <w:t xml:space="preserve">— Dr. Francisco Gabriel Rodríguez González, UDLAP.</w:t>
      </w:r>
    </w:p>
    <w:p>
      <w:pPr>
        <w:pStyle w:val="Heading2"/>
        <w:spacing w:before="360"/>
      </w:pPr>
      <w:r>
        <w:t xml:space="preserve">Recursos y referencias</w:t>
      </w:r>
    </w:p>
    <w:p>
      <w:pPr>
        <w:pStyle w:val="ListParagraph"/>
        <w:numPr>
          <w:ilvl w:val="0"/>
          <w:numId w:val="3"/>
        </w:numPr>
        <w:spacing w:after="150" w:line="280"/>
      </w:pPr>
      <w:hyperlink w:history="1" r:id="rId6gsslt5yufo2z2oghxksi">
        <w:r>
          <w:rPr>
            <w:rStyle w:val="Hyperlink"/>
            <w:b/>
            <w:bCs/>
          </w:rPr>
          <w:t xml:space="preserve">UNESCO (2021). Recomendación sobre la Ética de la Inteligencia Artificial.</w:t>
        </w:r>
      </w:hyperlink>
      <w:r>
        <w:rPr>
          <w:color w:val="6B7C8F"/>
        </w:rPr>
        <w:t xml:space="preserve"> Primer estándar global, adoptado por 193 Estados miembros.</w:t>
      </w:r>
    </w:p>
    <w:p>
      <w:pPr>
        <w:pStyle w:val="ListParagraph"/>
        <w:numPr>
          <w:ilvl w:val="0"/>
          <w:numId w:val="3"/>
        </w:numPr>
        <w:spacing w:after="150" w:line="280"/>
      </w:pPr>
      <w:hyperlink w:history="1" r:id="rIdu3cax5t8ioo5jcvy6maoe">
        <w:r>
          <w:rPr>
            <w:rStyle w:val="Hyperlink"/>
            <w:b/>
            <w:bCs/>
          </w:rPr>
          <w:t xml:space="preserve">UNESCO (2023). Guía para la IA generativa en la educación y la investigación.</w:t>
        </w:r>
      </w:hyperlink>
      <w:r>
        <w:rPr>
          <w:color w:val="6B7C8F"/>
        </w:rPr>
        <w:t xml:space="preserve"> Retos de integridad, datos, sesgo, accesibilidad y comercialización.</w:t>
      </w:r>
    </w:p>
    <w:p>
      <w:pPr>
        <w:pStyle w:val="ListParagraph"/>
        <w:numPr>
          <w:ilvl w:val="0"/>
          <w:numId w:val="3"/>
        </w:numPr>
        <w:spacing w:after="150" w:line="280"/>
      </w:pPr>
      <w:hyperlink w:history="1" r:id="rIdvni8qgbg5rcyoriwwjvcg">
        <w:r>
          <w:rPr>
            <w:rStyle w:val="Hyperlink"/>
            <w:b/>
            <w:bCs/>
          </w:rPr>
          <w:t xml:space="preserve">UNESCO (2024). Marcos de competencias en IA para estudiantes y docentes.</w:t>
        </w:r>
      </w:hyperlink>
      <w:r>
        <w:rPr>
          <w:color w:val="6B7C8F"/>
        </w:rPr>
        <w:t xml:space="preserve"> Traducen los principios en habilidades enseñables.</w:t>
      </w:r>
    </w:p>
    <w:p>
      <w:pPr>
        <w:pStyle w:val="ListParagraph"/>
        <w:numPr>
          <w:ilvl w:val="0"/>
          <w:numId w:val="3"/>
        </w:numPr>
        <w:spacing w:after="150" w:line="280"/>
      </w:pPr>
      <w:hyperlink w:history="1" r:id="rIdh67goy_inwcguk-frsbmz">
        <w:r>
          <w:rPr>
            <w:rStyle w:val="Hyperlink"/>
            <w:b/>
            <w:bCs/>
          </w:rPr>
          <w:t xml:space="preserve">ANUIES. Informe Nacional y Observatorio Interinstitucional de IA en la Educación Superior.</w:t>
        </w:r>
      </w:hyperlink>
      <w:r>
        <w:rPr>
          <w:color w:val="6B7C8F"/>
        </w:rPr>
        <w:t xml:space="preserve"> Articulación de buenas prácticas entre instituciones mexicanas.</w:t>
      </w:r>
    </w:p>
    <w:p>
      <w:pPr>
        <w:pStyle w:val="ListParagraph"/>
        <w:numPr>
          <w:ilvl w:val="0"/>
          <w:numId w:val="3"/>
        </w:numPr>
        <w:spacing w:after="150" w:line="280"/>
      </w:pPr>
      <w:hyperlink w:history="1" r:id="rId4vzippvbnn0kunwxpsl28">
        <w:r>
          <w:rPr>
            <w:rStyle w:val="Hyperlink"/>
            <w:b/>
            <w:bCs/>
          </w:rPr>
          <w:t xml:space="preserve">UAM. Código y decálogo de ética para el uso de la Inteligencia Artificial.</w:t>
        </w:r>
      </w:hyperlink>
      <w:r>
        <w:rPr>
          <w:color w:val="6B7C8F"/>
        </w:rPr>
        <w:t xml:space="preserve"> Ejemplo de marco institucional elaborado de forma interdisciplinaria.</w:t>
      </w:r>
    </w:p>
    <w:p>
      <w:pPr>
        <w:spacing w:before="160" w:line="264"/>
      </w:pPr>
      <w:r>
        <w:rPr>
          <w:i/>
          <w:iCs/>
          <w:color w:val="6B7C8F"/>
          <w:sz w:val="18"/>
          <w:szCs w:val="18"/>
        </w:rPr>
        <w:t xml:space="preserve">Nota: las cifras de adopción provienen de reportes recientes del sector educativo mexicano y se citan de manera orientativa. Se recomienda consultar las fuentes primarias para datos exactos y actualizados.</w:t>
      </w:r>
    </w:p>
    <w:sectPr>
      <w:headerReference w:type="default" r:id="rId7"/>
      <w:footerReference w:type="default" r:id="rId8"/>
      <w:pgSz w:w="12240" w:h="15840"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Bdr>
        <w:top w:val="single" w:color="E0E0E0" w:sz="4" w:space="6"/>
      </w:pBdr>
      <w:tabs>
        <w:tab w:val="right" w:pos="9026"/>
      </w:tabs>
    </w:pPr>
    <w:r>
      <w:rPr>
        <w:color w:val="6B7C8F"/>
        <w:sz w:val="16"/>
        <w:szCs w:val="16"/>
      </w:rPr>
      <w:t xml:space="preserve">Uso ético de la IA en la universidad mexicana</w:t>
    </w:r>
    <w:r>
      <w:rPr>
        <w:color w:val="6B7C8F"/>
        <w:sz w:val="16"/>
        <w:szCs w:val="16"/>
      </w:rPr>
      <w:t xml:space="preserve">	Página </w:t>
    </w:r>
    <w:r>
      <w:rPr>
        <w:color w:val="6B7C8F"/>
        <w:sz w:val="16"/>
        <w:szCs w:val="16"/>
      </w:rPr>
      <w:fldChar w:fldCharType="begin"/>
      <w:instrText xml:space="preserve">PAGE</w:instrText>
      <w:fldChar w:fldCharType="separate"/>
      <w:fldChar w:fldCharType="end"/>
    </w:r>
    <w:r>
      <w:rPr>
        <w:color w:val="6B7C8F"/>
        <w:sz w:val="16"/>
        <w:szCs w:val="16"/>
      </w:rPr>
      <w:t xml:space="preserve"> de </w:t>
    </w:r>
    <w:r>
      <w:rPr>
        <w:color w:val="6B7C8F"/>
        <w:sz w:val="16"/>
        <w:szCs w:val="16"/>
      </w:rPr>
      <w:fldChar w:fldCharType="begin"/>
      <w:instrText xml:space="preserve">NUMPAGES</w:instrText>
      <w:fldChar w:fldCharType="separate"/>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pPr>
      <w:pBdr>
        <w:bottom w:val="single" w:color="E0E0E0" w:sz="4" w:space="6"/>
      </w:pBdr>
      <w:jc w:val="right"/>
    </w:pPr>
    <w:r>
      <w:rPr>
        <w:b/>
        <w:bCs/>
        <w:color w:val="6B7C8F"/>
        <w:sz w:val="16"/>
        <w:szCs w:val="16"/>
      </w:rPr>
      <w:t xml:space="preserve">Brújula IA</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2" w15:restartNumberingAfterBreak="0">
    <w:multiLevelType w:val="hybridMultilevel"/>
    <w:lvl w:ilvl="0" w15:tentative="1">
      <w:start w:val="1"/>
      <w:numFmt w:val="decimal"/>
      <w:lvlText w:val="%1."/>
      <w:lvlJc w:val="left"/>
      <w:pPr>
        <w:ind w:left="540" w:hanging="360"/>
      </w:pPr>
    </w:lvl>
  </w:abstractNum>
  <w:abstractNum w:abstractNumId="3" w15:restartNumberingAfterBreak="0">
    <w:multiLevelType w:val="hybridMultilevel"/>
    <w:lvl w:ilvl="0" w15:tentative="1">
      <w:start w:val="1"/>
      <w:numFmt w:val="bullet"/>
      <w:lvlText w:val="•"/>
      <w:lvlJc w:val="left"/>
      <w:pPr>
        <w:ind w:left="420" w:hanging="240"/>
      </w:pPr>
    </w:lvl>
  </w:abstractNum>
  <w:num w:numId="1">
    <w:abstractNumId w:val="1"/>
    <w:lvlOverride w:ilvl="0">
      <w:startOverride w:val="1"/>
    </w:lvlOverride>
  </w:num>
  <w:num w:numId="2">
    <w:abstractNumId w:val="2"/>
    <w:lvlOverride w:ilvl="0">
      <w:startOverride w:val="1"/>
    </w:lvlOverride>
  </w:num>
  <w:num w:numId="3">
    <w:abstractNumId w:val="3"/>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mbria" w:cs="Cambria" w:eastAsia="Cambria" w:hAnsi="Cambria"/>
        <w:color w:val="1F2D3A"/>
        <w:sz w:val="23"/>
        <w:szCs w:val="23"/>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 w:type="paragraph" w:styleId="Heading2">
    <w:name w:val="Heading 2"/>
    <w:basedOn w:val="Normal"/>
    <w:next w:val="Normal"/>
    <w:qFormat/>
    <w:pPr>
      <w:keepNext/>
      <w:spacing w:after="140" w:before="320"/>
      <w:outlineLvl w:val="1"/>
    </w:pPr>
    <w:rPr>
      <w:rFonts w:ascii="Calibri" w:cs="Calibri" w:eastAsia="Calibri" w:hAnsi="Calibri"/>
      <w:b/>
      <w:bCs/>
      <w:color w:val="0A4F54"/>
      <w:sz w:val="27"/>
      <w:szCs w:val="27"/>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header" Target="header1.xml"/><Relationship Id="rId8" Type="http://schemas.openxmlformats.org/officeDocument/2006/relationships/footer" Target="footer1.xml"/><Relationship Id="rId6gsslt5yufo2z2oghxksi" Type="http://schemas.openxmlformats.org/officeDocument/2006/relationships/hyperlink" Target="https://www.unesco.org/es/artificial-intelligence/recommendation-ethics" TargetMode="External"/><Relationship Id="rIdu3cax5t8ioo5jcvy6maoe" Type="http://schemas.openxmlformats.org/officeDocument/2006/relationships/hyperlink" Target="https://www.unesco.org/en/articles/guidance-generative-ai-education-and-research" TargetMode="External"/><Relationship Id="rIdvni8qgbg5rcyoriwwjvcg" Type="http://schemas.openxmlformats.org/officeDocument/2006/relationships/hyperlink" Target="https://www.unesco.org/en/digital-education/ai-future-learning" TargetMode="External"/><Relationship Id="rIdh67goy_inwcguk-frsbmz" Type="http://schemas.openxmlformats.org/officeDocument/2006/relationships/hyperlink" Target="https://www.anuies.mx/" TargetMode="External"/><Relationship Id="rId4vzippvbnn0kunwxpsl28" Type="http://schemas.openxmlformats.org/officeDocument/2006/relationships/hyperlink" Target="https://boletines.uam.mx/" TargetMode="External"/><Relationship Id="rId14"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El uso ético de la inteligencia artificial en la educación superior mexicana</dc:title>
  <dc:creator>Dr. Francisco Gabriel Rodríguez González</dc:creator>
  <dc:description>Artículo de divulgación sobre el uso ético de la IA en universidades mexicanas.</dc:description>
  <cp:lastModifiedBy>Un-named</cp:lastModifiedBy>
  <cp:revision>1</cp:revision>
  <dcterms:created xsi:type="dcterms:W3CDTF">2026-06-29T22:48:47.856Z</dcterms:created>
  <dcterms:modified xsi:type="dcterms:W3CDTF">2026-06-29T22:48:47.857Z</dcterms:modified>
</cp:coreProperties>
</file>

<file path=docProps/custom.xml><?xml version="1.0" encoding="utf-8"?>
<Properties xmlns="http://schemas.openxmlformats.org/officeDocument/2006/custom-properties" xmlns:vt="http://schemas.openxmlformats.org/officeDocument/2006/docPropsVTypes"/>
</file>